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160"/>
        <w:ind w:right="0" w:hanging="0"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Załącznik nr 11</w:t>
      </w:r>
    </w:p>
    <w:p>
      <w:pPr>
        <w:pStyle w:val="Normal"/>
        <w:bidi w:val="0"/>
        <w:spacing w:lineRule="auto" w:line="240" w:before="0" w:after="160"/>
        <w:ind w:right="0" w:hanging="0"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Wykaz</w:t>
      </w:r>
      <w:r>
        <w:rPr>
          <w:rFonts w:eastAsia="Calibri" w:cs="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4"/>
          <w:u w:val="none"/>
          <w:lang w:val="pl-PL" w:eastAsia="en-US" w:bidi="ar-SA"/>
        </w:rPr>
        <w:t xml:space="preserve"> proponowanych materiałów dopuszczonych przez Urząd Ochrony Zabytków do przeprowadzenia prac przy zabytku.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cs="Times New Roman" w:ascii="Arial" w:hAnsi="Arial"/>
          <w:b/>
          <w:bCs/>
          <w:color w:val="auto"/>
          <w:sz w:val="26"/>
          <w:szCs w:val="26"/>
        </w:rPr>
        <w:t xml:space="preserve">Remont konserwatorsko-budowlany kościoła pw. św. Stanisława Biskupa i Męczennika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6"/>
          <w:szCs w:val="26"/>
          <w:lang w:val="pl-PL" w:eastAsia="en-US" w:bidi="ar-SA"/>
        </w:rPr>
        <w:t>w Chlewiskach</w:t>
      </w:r>
      <w:r>
        <w:rPr>
          <w:rFonts w:ascii="Arial" w:hAnsi="Arial"/>
          <w:b/>
          <w:bCs/>
          <w:sz w:val="24"/>
          <w:szCs w:val="24"/>
        </w:rPr>
        <w:t>”</w:t>
      </w:r>
    </w:p>
    <w:p>
      <w:pPr>
        <w:pStyle w:val="Normal"/>
        <w:bidi w:val="0"/>
        <w:spacing w:lineRule="auto" w:line="240" w:before="0" w:after="0"/>
        <w:ind w:right="0" w:hanging="0"/>
        <w:contextualSpacing/>
        <w:jc w:val="left"/>
        <w:rPr>
          <w:rFonts w:ascii="Calibri" w:hAnsi="Calibri"/>
          <w:sz w:val="32"/>
          <w:szCs w:val="24"/>
        </w:rPr>
      </w:pPr>
      <w:r>
        <w:rPr>
          <w:rFonts w:ascii="Calibri" w:hAnsi="Calibri"/>
          <w:sz w:val="32"/>
          <w:szCs w:val="24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5670"/>
      </w:tblGrid>
      <w:tr>
        <w:trPr/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Rodzaj prac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Materiał proponowany przez oferenta</w:t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Ławy – parametry betonu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 xml:space="preserve">Fundamenty – parametry 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 xml:space="preserve">                                               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betonu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Izolacje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Zaprawa do murowania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Tynki wyrównujący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Tynk właściwy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Wykończenie ścian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Powłoka malarska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Hydrofobizacja muru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Hydrofobizacja kamienia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right="0" w:hanging="0"/>
        <w:contextualSpacing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LibreOffice/7.0.3.1$Windows_X86_64 LibreOffice_project/d7547858d014d4cf69878db179d326fc3483e082</Application>
  <Pages>1</Pages>
  <Words>55</Words>
  <Characters>411</Characters>
  <CharactersWithSpaces>501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2024-02-13T20:39:30Z</dcterms:created>
  <dc:creator/>
  <dc:description/>
  <dc:language>pl-PL</dc:language>
  <cp:lastModifiedBy/>
  <cp:lastPrinted>2024-02-14T21:12:47Z</cp:lastPrinted>
  <dcterms:modified xsi:type="dcterms:W3CDTF">2024-03-25T22:31:11Z</dcterms:modified>
  <cp:revision>5</cp:revision>
  <dc:subject/>
  <dc:title/>
</cp:coreProperties>
</file>